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89" w:rsidRDefault="003D7589" w:rsidP="003D7589">
      <w:pPr>
        <w:jc w:val="center"/>
        <w:rPr>
          <w:b/>
        </w:rPr>
      </w:pPr>
      <w:bookmarkStart w:id="0" w:name="_GoBack"/>
      <w:bookmarkEnd w:id="0"/>
      <w:r>
        <w:rPr>
          <w:b/>
        </w:rPr>
        <w:t>Indicazioni operative per vincitori con azienda</w:t>
      </w:r>
    </w:p>
    <w:p w:rsidR="003D7589" w:rsidRDefault="003D7589" w:rsidP="003D7589"/>
    <w:p w:rsidR="003D7589" w:rsidRDefault="003D7589" w:rsidP="003D75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I vincitori che abbiano già reperito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un’azienda ospitante sono invitati a far pervenire all’ufficio Relazioni Internazionali – </w:t>
      </w:r>
      <w:r w:rsidRPr="006D698A">
        <w:rPr>
          <w:rFonts w:ascii="Calibri" w:hAnsi="Calibri" w:cs="Calibri"/>
          <w:sz w:val="23"/>
          <w:szCs w:val="23"/>
        </w:rPr>
        <w:t xml:space="preserve">almeno </w:t>
      </w:r>
      <w:r w:rsidRPr="006D698A">
        <w:rPr>
          <w:rFonts w:ascii="Calibri" w:hAnsi="Calibri" w:cs="Calibri"/>
          <w:b/>
          <w:sz w:val="23"/>
          <w:szCs w:val="23"/>
          <w:u w:val="single"/>
        </w:rPr>
        <w:t>20 gg</w:t>
      </w:r>
      <w:r w:rsidRPr="006D698A">
        <w:rPr>
          <w:rFonts w:ascii="Calibri" w:hAnsi="Calibri" w:cs="Calibri"/>
          <w:sz w:val="23"/>
          <w:szCs w:val="23"/>
        </w:rPr>
        <w:t xml:space="preserve"> lavorativi</w:t>
      </w:r>
      <w:r>
        <w:rPr>
          <w:rFonts w:ascii="Calibri" w:hAnsi="Calibri" w:cs="Calibri"/>
          <w:sz w:val="23"/>
          <w:szCs w:val="23"/>
        </w:rPr>
        <w:t xml:space="preserve"> prima della data di inizio della mobilità – attraverso ticket in </w:t>
      </w:r>
      <w:proofErr w:type="spellStart"/>
      <w:r>
        <w:rPr>
          <w:rFonts w:ascii="Calibri" w:hAnsi="Calibri" w:cs="Calibri"/>
          <w:sz w:val="23"/>
          <w:szCs w:val="23"/>
        </w:rPr>
        <w:t>helpdesk</w:t>
      </w:r>
      <w:proofErr w:type="spellEnd"/>
      <w:r>
        <w:rPr>
          <w:rFonts w:ascii="Calibri" w:hAnsi="Calibri" w:cs="Calibri"/>
          <w:sz w:val="23"/>
          <w:szCs w:val="23"/>
        </w:rPr>
        <w:t xml:space="preserve"> categoria Ufficio Relazioni Internazionali/</w:t>
      </w:r>
      <w:proofErr w:type="spellStart"/>
      <w:r>
        <w:rPr>
          <w:rFonts w:ascii="Calibri" w:hAnsi="Calibri" w:cs="Calibri"/>
          <w:sz w:val="23"/>
          <w:szCs w:val="23"/>
        </w:rPr>
        <w:t>Traineeship</w:t>
      </w:r>
      <w:proofErr w:type="spellEnd"/>
      <w:r>
        <w:rPr>
          <w:rFonts w:ascii="Calibri" w:hAnsi="Calibri" w:cs="Calibri"/>
          <w:sz w:val="23"/>
          <w:szCs w:val="23"/>
        </w:rPr>
        <w:t xml:space="preserve">/Bando, i seguenti </w:t>
      </w:r>
      <w:r w:rsidRPr="006D698A">
        <w:rPr>
          <w:rFonts w:ascii="Calibri" w:hAnsi="Calibri" w:cs="Calibri"/>
          <w:sz w:val="23"/>
          <w:szCs w:val="23"/>
        </w:rPr>
        <w:t xml:space="preserve">documenti (art. </w:t>
      </w:r>
      <w:r w:rsidR="00B43DF1" w:rsidRPr="006D698A">
        <w:rPr>
          <w:rFonts w:ascii="Calibri" w:hAnsi="Calibri" w:cs="Calibri"/>
          <w:sz w:val="23"/>
          <w:szCs w:val="23"/>
        </w:rPr>
        <w:t xml:space="preserve">10 </w:t>
      </w:r>
      <w:r w:rsidRPr="006D698A">
        <w:rPr>
          <w:rFonts w:ascii="Calibri" w:hAnsi="Calibri" w:cs="Calibri"/>
          <w:sz w:val="23"/>
          <w:szCs w:val="23"/>
        </w:rPr>
        <w:t>del</w:t>
      </w:r>
      <w:r>
        <w:rPr>
          <w:rFonts w:ascii="Calibri" w:hAnsi="Calibri" w:cs="Calibri"/>
          <w:sz w:val="23"/>
          <w:szCs w:val="23"/>
        </w:rPr>
        <w:t xml:space="preserve"> bando) propedeutici alla sottoscrizione del contratto finanziario:</w:t>
      </w:r>
    </w:p>
    <w:p w:rsidR="003D7589" w:rsidRDefault="003D7589" w:rsidP="003D7589">
      <w:pPr>
        <w:pStyle w:val="Paragrafoelenco"/>
        <w:autoSpaceDE w:val="0"/>
        <w:autoSpaceDN w:val="0"/>
        <w:adjustRightInd w:val="0"/>
        <w:spacing w:after="0" w:line="240" w:lineRule="auto"/>
        <w:ind w:left="405"/>
        <w:rPr>
          <w:rFonts w:ascii="Calibri" w:hAnsi="Calibri" w:cs="Calibri"/>
          <w:sz w:val="23"/>
          <w:szCs w:val="23"/>
        </w:rPr>
      </w:pPr>
    </w:p>
    <w:p w:rsidR="003D7589" w:rsidRDefault="003D7589" w:rsidP="003D75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Learning Agreement </w:t>
      </w:r>
      <w:r>
        <w:rPr>
          <w:rFonts w:ascii="Calibri" w:hAnsi="Calibri" w:cs="Calibri"/>
          <w:sz w:val="23"/>
          <w:szCs w:val="23"/>
        </w:rPr>
        <w:t>(il cui modello è reperibile fra i modelli di seguito pubblicati) dopo averlo integralmente compilato</w:t>
      </w:r>
    </w:p>
    <w:p w:rsidR="003D7589" w:rsidRDefault="003D7589" w:rsidP="003D758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nella prima sezione (dati dello studente e dell’ente ospitante);</w:t>
      </w:r>
    </w:p>
    <w:p w:rsidR="003D7589" w:rsidRDefault="003D7589" w:rsidP="003D7589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nella parte “</w:t>
      </w:r>
      <w:proofErr w:type="spellStart"/>
      <w:r>
        <w:rPr>
          <w:rFonts w:ascii="Calibri" w:hAnsi="Calibri" w:cs="Calibri"/>
          <w:sz w:val="23"/>
          <w:szCs w:val="23"/>
        </w:rPr>
        <w:t>Before</w:t>
      </w:r>
      <w:proofErr w:type="spellEnd"/>
      <w:r>
        <w:rPr>
          <w:rFonts w:ascii="Calibri" w:hAnsi="Calibri" w:cs="Calibri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sz w:val="23"/>
          <w:szCs w:val="23"/>
        </w:rPr>
        <w:t>Mobility</w:t>
      </w:r>
      <w:proofErr w:type="spellEnd"/>
      <w:r>
        <w:rPr>
          <w:rFonts w:ascii="Calibri" w:hAnsi="Calibri" w:cs="Calibri"/>
          <w:sz w:val="23"/>
          <w:szCs w:val="23"/>
        </w:rPr>
        <w:t xml:space="preserve">”, ponendo attenzione al periodo di mobilità (che dev’essere indicato in mesi -mese d’inizio e mese fine del tirocinio-, al numero di ore settimanali (che devono essere </w:t>
      </w:r>
      <w:r>
        <w:rPr>
          <w:rFonts w:ascii="Calibri" w:hAnsi="Calibri" w:cs="Calibri"/>
          <w:sz w:val="23"/>
          <w:szCs w:val="23"/>
          <w:u w:val="single"/>
        </w:rPr>
        <w:t>comprese tra 20 e 40</w:t>
      </w:r>
      <w:r>
        <w:rPr>
          <w:rFonts w:ascii="Calibri" w:hAnsi="Calibri" w:cs="Calibri"/>
          <w:sz w:val="23"/>
          <w:szCs w:val="23"/>
        </w:rPr>
        <w:t xml:space="preserve">), al livello di competenza nella lingua del paese o veicolare, alla compilazione di uno dei tre punti previsti dal </w:t>
      </w:r>
      <w:proofErr w:type="spellStart"/>
      <w:r>
        <w:rPr>
          <w:rFonts w:ascii="Calibri" w:hAnsi="Calibri" w:cs="Calibri"/>
          <w:sz w:val="23"/>
          <w:szCs w:val="23"/>
        </w:rPr>
        <w:t>Table</w:t>
      </w:r>
      <w:proofErr w:type="spellEnd"/>
      <w:r>
        <w:rPr>
          <w:rFonts w:ascii="Calibri" w:hAnsi="Calibri" w:cs="Calibri"/>
          <w:sz w:val="23"/>
          <w:szCs w:val="23"/>
        </w:rPr>
        <w:t xml:space="preserve"> B, al </w:t>
      </w:r>
      <w:proofErr w:type="spellStart"/>
      <w:r>
        <w:rPr>
          <w:rFonts w:ascii="Calibri" w:hAnsi="Calibri" w:cs="Calibri"/>
          <w:sz w:val="23"/>
          <w:szCs w:val="23"/>
        </w:rPr>
        <w:t>Table</w:t>
      </w:r>
      <w:proofErr w:type="spellEnd"/>
      <w:r>
        <w:rPr>
          <w:rFonts w:ascii="Calibri" w:hAnsi="Calibri" w:cs="Calibri"/>
          <w:sz w:val="23"/>
          <w:szCs w:val="23"/>
        </w:rPr>
        <w:t xml:space="preserve"> C relativo alla </w:t>
      </w:r>
      <w:proofErr w:type="spellStart"/>
      <w:r>
        <w:rPr>
          <w:rFonts w:ascii="Calibri" w:hAnsi="Calibri" w:cs="Calibri"/>
          <w:sz w:val="23"/>
          <w:szCs w:val="23"/>
        </w:rPr>
        <w:t>receiving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organisation</w:t>
      </w:r>
      <w:proofErr w:type="spellEnd"/>
      <w:r>
        <w:rPr>
          <w:rFonts w:ascii="Calibri" w:hAnsi="Calibri" w:cs="Calibri"/>
          <w:sz w:val="23"/>
          <w:szCs w:val="23"/>
        </w:rPr>
        <w:t xml:space="preserve">; </w:t>
      </w:r>
    </w:p>
    <w:p w:rsidR="003D7589" w:rsidRDefault="003D7589" w:rsidP="003D7589">
      <w:pPr>
        <w:jc w:val="both"/>
        <w:rPr>
          <w:b/>
          <w:u w:val="single"/>
        </w:rPr>
      </w:pPr>
      <w:r>
        <w:rPr>
          <w:rFonts w:ascii="Calibri" w:hAnsi="Calibri" w:cs="Calibri"/>
          <w:sz w:val="23"/>
          <w:szCs w:val="23"/>
        </w:rPr>
        <w:t>e dopo averlo</w:t>
      </w:r>
      <w:r>
        <w:rPr>
          <w:rFonts w:ascii="Calibri" w:hAnsi="Calibri" w:cs="Calibri"/>
          <w:sz w:val="23"/>
          <w:szCs w:val="23"/>
          <w:u w:val="single"/>
        </w:rPr>
        <w:t xml:space="preserve"> firmato e fatto firmare dall’azienda ospitante</w:t>
      </w:r>
      <w:r>
        <w:rPr>
          <w:rFonts w:ascii="Calibri" w:hAnsi="Calibri" w:cs="Calibri"/>
          <w:sz w:val="23"/>
          <w:szCs w:val="23"/>
        </w:rPr>
        <w:t xml:space="preserve"> (</w:t>
      </w:r>
      <w:r>
        <w:rPr>
          <w:rFonts w:ascii="Calibri" w:hAnsi="Calibri" w:cs="Calibri"/>
          <w:b/>
          <w:sz w:val="23"/>
          <w:szCs w:val="23"/>
        </w:rPr>
        <w:t xml:space="preserve">la firma della </w:t>
      </w:r>
      <w:proofErr w:type="spellStart"/>
      <w:r w:rsidRPr="00B43DF1">
        <w:rPr>
          <w:rFonts w:ascii="Calibri" w:hAnsi="Calibri" w:cs="Calibri"/>
          <w:b/>
          <w:i/>
          <w:sz w:val="23"/>
          <w:szCs w:val="23"/>
        </w:rPr>
        <w:t>sending</w:t>
      </w:r>
      <w:proofErr w:type="spellEnd"/>
      <w:r w:rsidRPr="00B43DF1">
        <w:rPr>
          <w:rFonts w:ascii="Calibri" w:hAnsi="Calibri" w:cs="Calibri"/>
          <w:b/>
          <w:i/>
          <w:sz w:val="23"/>
          <w:szCs w:val="23"/>
        </w:rPr>
        <w:t xml:space="preserve"> </w:t>
      </w:r>
      <w:proofErr w:type="spellStart"/>
      <w:r w:rsidRPr="00B43DF1">
        <w:rPr>
          <w:rFonts w:ascii="Calibri" w:hAnsi="Calibri" w:cs="Calibri"/>
          <w:b/>
          <w:i/>
          <w:sz w:val="23"/>
          <w:szCs w:val="23"/>
        </w:rPr>
        <w:t>institution</w:t>
      </w:r>
      <w:proofErr w:type="spellEnd"/>
      <w:r>
        <w:rPr>
          <w:rFonts w:ascii="Calibri" w:hAnsi="Calibri" w:cs="Calibri"/>
          <w:b/>
          <w:sz w:val="23"/>
          <w:szCs w:val="23"/>
        </w:rPr>
        <w:t xml:space="preserve"> sarà acquisita direttamente dall’Ufficio Relazioni Internazionali. </w:t>
      </w:r>
      <w:r>
        <w:rPr>
          <w:b/>
        </w:rPr>
        <w:t xml:space="preserve">Pertanto </w:t>
      </w:r>
      <w:r>
        <w:rPr>
          <w:b/>
          <w:u w:val="single"/>
        </w:rPr>
        <w:t>si invita a conferire solo con l’anzidetto ufficio).</w:t>
      </w:r>
    </w:p>
    <w:p w:rsidR="003D7589" w:rsidRDefault="003D7589" w:rsidP="003D75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3D7589" w:rsidRDefault="003D7589" w:rsidP="003D758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Modulo Assegnazione Crediti </w:t>
      </w:r>
      <w:r>
        <w:rPr>
          <w:rFonts w:ascii="Calibri" w:hAnsi="Calibri" w:cs="Calibri"/>
          <w:sz w:val="23"/>
          <w:szCs w:val="23"/>
        </w:rPr>
        <w:t xml:space="preserve">(il cui modello è reperibile fra i modelli </w:t>
      </w:r>
      <w:r w:rsidRPr="003A4E25">
        <w:rPr>
          <w:rFonts w:ascii="Calibri" w:hAnsi="Calibri" w:cs="Calibri"/>
          <w:sz w:val="23"/>
          <w:szCs w:val="23"/>
          <w:highlight w:val="yellow"/>
        </w:rPr>
        <w:t>di seguito pubblicati</w:t>
      </w:r>
      <w:r>
        <w:rPr>
          <w:rFonts w:ascii="Calibri" w:hAnsi="Calibri" w:cs="Calibri"/>
          <w:sz w:val="23"/>
          <w:szCs w:val="23"/>
        </w:rPr>
        <w:t xml:space="preserve">) dopo averlo compilato e fatto firmare dal delegato al riconoscimento, individuato nell’elenco pubblicato sul sito </w:t>
      </w:r>
      <w:proofErr w:type="spellStart"/>
      <w:r>
        <w:rPr>
          <w:rFonts w:ascii="Calibri" w:hAnsi="Calibri" w:cs="Calibri"/>
          <w:sz w:val="23"/>
          <w:szCs w:val="23"/>
        </w:rPr>
        <w:t>Unisalento</w:t>
      </w:r>
      <w:proofErr w:type="spellEnd"/>
      <w:r>
        <w:rPr>
          <w:rFonts w:ascii="Calibri" w:hAnsi="Calibri" w:cs="Calibri"/>
          <w:sz w:val="23"/>
          <w:szCs w:val="23"/>
        </w:rPr>
        <w:t xml:space="preserve"> nella sezione di mobilità studentesca reperibile al seguente link </w:t>
      </w:r>
      <w:hyperlink r:id="rId5" w:history="1">
        <w:r>
          <w:rPr>
            <w:rStyle w:val="Collegamentoipertestuale"/>
          </w:rPr>
          <w:t>https://www.unisalento.it/erasmus-students</w:t>
        </w:r>
      </w:hyperlink>
      <w:r>
        <w:t>,</w:t>
      </w:r>
      <w:r>
        <w:rPr>
          <w:rFonts w:ascii="Calibri" w:hAnsi="Calibri" w:cs="Calibri"/>
          <w:sz w:val="23"/>
          <w:szCs w:val="23"/>
        </w:rPr>
        <w:t xml:space="preserve"> sulla base della valutazione del progetto di tirocinio; l’assegnazione dei CFU può essere richiesta anche dai laureati o da coloro che hanno già completato i CFU curriculari. In tal caso i CFU del tirocinio saranno da intendersi come extra-curriculari. </w:t>
      </w:r>
    </w:p>
    <w:p w:rsidR="003D7589" w:rsidRDefault="003D7589" w:rsidP="003D7589"/>
    <w:p w:rsidR="003D7589" w:rsidRDefault="003D7589" w:rsidP="003D7589">
      <w:pPr>
        <w:jc w:val="both"/>
      </w:pPr>
      <w:r>
        <w:t xml:space="preserve">Dopo aver trasmesso la documentazione come sopra, tutti gli studenti sono invitati a controllare sistematicamente le notifiche in </w:t>
      </w:r>
      <w:proofErr w:type="spellStart"/>
      <w:r>
        <w:rPr>
          <w:b/>
          <w:u w:val="single"/>
        </w:rPr>
        <w:t>helpdesk</w:t>
      </w:r>
      <w:proofErr w:type="spellEnd"/>
      <w:r>
        <w:t xml:space="preserve">, perché è attraverso quest’ultimo che l’Ufficio Relazioni Internazionali comunicherà ai fini del perfezionamento del contratto finanziario (nonché a consultare la posta elettronica istituzionale per eventuali ipotesi eccezionali). </w:t>
      </w:r>
    </w:p>
    <w:p w:rsidR="003D7589" w:rsidRDefault="003D7589" w:rsidP="003D7589">
      <w:pPr>
        <w:jc w:val="both"/>
        <w:rPr>
          <w:b/>
        </w:rPr>
      </w:pPr>
      <w:r>
        <w:t xml:space="preserve">Si precisa che i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ed i contratti vengono sottoscritti dal Rettore e/o dai suoi Delegati solo</w:t>
      </w:r>
      <w:r>
        <w:rPr>
          <w:b/>
        </w:rPr>
        <w:t xml:space="preserve"> dopo che l’Ufficio Relazioni Internazionali ha acquisito la documentazione.</w:t>
      </w:r>
    </w:p>
    <w:p w:rsidR="003D7589" w:rsidRDefault="003D7589" w:rsidP="003D7589">
      <w:pPr>
        <w:jc w:val="both"/>
      </w:pPr>
      <w:r>
        <w:t xml:space="preserve">Si ricorda a tutti che </w:t>
      </w:r>
      <w:r>
        <w:rPr>
          <w:b/>
          <w:u w:val="single"/>
        </w:rPr>
        <w:t>non si può iniziare il tirocinio</w:t>
      </w:r>
      <w:r>
        <w:t xml:space="preserve"> se il contratto ed il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non sono stati firmati da tutte le parti coinvolte e non è stato dato l’ok da parte dell’Ufficio Relazioni Internazionali.</w:t>
      </w:r>
    </w:p>
    <w:p w:rsidR="003D7589" w:rsidRDefault="003D7589" w:rsidP="003D7589">
      <w:pPr>
        <w:jc w:val="both"/>
      </w:pPr>
      <w:r>
        <w:t>Si ricorda altresì che il periodo di mobilità per tirocinio non può essere né interrotto né sospeso per motivi non relativi all’azienda, fatti salvi i casi eccezionali da valutare singolarmente.</w:t>
      </w:r>
    </w:p>
    <w:p w:rsidR="00F7656A" w:rsidRDefault="00F7656A" w:rsidP="003D7589">
      <w:pPr>
        <w:jc w:val="both"/>
      </w:pPr>
    </w:p>
    <w:p w:rsidR="00F7656A" w:rsidRDefault="00F7656A" w:rsidP="003D7589">
      <w:pPr>
        <w:jc w:val="both"/>
      </w:pPr>
    </w:p>
    <w:p w:rsidR="002F5734" w:rsidRDefault="002F5734"/>
    <w:sectPr w:rsidR="002F57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9D3"/>
    <w:multiLevelType w:val="hybridMultilevel"/>
    <w:tmpl w:val="D66686D4"/>
    <w:lvl w:ilvl="0" w:tplc="133C21D0">
      <w:start w:val="1"/>
      <w:numFmt w:val="decimal"/>
      <w:lvlText w:val="%1."/>
      <w:lvlJc w:val="left"/>
      <w:pPr>
        <w:ind w:left="405" w:hanging="360"/>
      </w:pPr>
      <w:rPr>
        <w:rFonts w:ascii="Calibri" w:eastAsiaTheme="minorHAnsi" w:hAnsi="Calibri" w:cs="Calibri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89"/>
    <w:rsid w:val="001464CB"/>
    <w:rsid w:val="002F5734"/>
    <w:rsid w:val="003A4E25"/>
    <w:rsid w:val="003D7589"/>
    <w:rsid w:val="006D698A"/>
    <w:rsid w:val="00762AE0"/>
    <w:rsid w:val="008F2B2D"/>
    <w:rsid w:val="00B43DF1"/>
    <w:rsid w:val="00D2499C"/>
    <w:rsid w:val="00E968AB"/>
    <w:rsid w:val="00F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DB52D-23C9-490E-9B18-42A1939F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8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D758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758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A4E2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salento.it/erasmus-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Marco Bernardini</cp:lastModifiedBy>
  <cp:revision>2</cp:revision>
  <cp:lastPrinted>2022-04-29T07:17:00Z</cp:lastPrinted>
  <dcterms:created xsi:type="dcterms:W3CDTF">2022-04-29T09:55:00Z</dcterms:created>
  <dcterms:modified xsi:type="dcterms:W3CDTF">2022-04-29T09:55:00Z</dcterms:modified>
</cp:coreProperties>
</file>